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DD" w:rsidRPr="004475DD" w:rsidRDefault="00904E4C" w:rsidP="00447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cs-CZ"/>
        </w:rPr>
      </w:pPr>
      <w:r w:rsidRPr="00904E4C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cs-CZ"/>
        </w:rPr>
        <w:t>Návrh</w:t>
      </w:r>
    </w:p>
    <w:p w:rsidR="004475DD" w:rsidRPr="004475DD" w:rsidRDefault="004475DD" w:rsidP="00447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</w:p>
    <w:p w:rsidR="004475DD" w:rsidRPr="004475DD" w:rsidRDefault="004475DD" w:rsidP="00447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</w:p>
    <w:p w:rsidR="004475DD" w:rsidRPr="004475DD" w:rsidRDefault="004475DD" w:rsidP="004475DD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</w:pPr>
      <w:r w:rsidRPr="004475DD"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  <w:t>Všeobecne záväzné nariadenie</w:t>
      </w:r>
    </w:p>
    <w:p w:rsidR="004475DD" w:rsidRPr="004475DD" w:rsidRDefault="004475DD" w:rsidP="004475DD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</w:pPr>
    </w:p>
    <w:p w:rsidR="004475DD" w:rsidRPr="004475DD" w:rsidRDefault="004475DD" w:rsidP="004475DD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</w:pPr>
      <w:r w:rsidRPr="004475DD"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  <w:t xml:space="preserve">Obce Richvald </w:t>
      </w:r>
    </w:p>
    <w:p w:rsidR="004475DD" w:rsidRPr="004475DD" w:rsidRDefault="004475DD" w:rsidP="004475DD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</w:pPr>
    </w:p>
    <w:p w:rsidR="004475DD" w:rsidRPr="004475DD" w:rsidRDefault="004475DD" w:rsidP="004475DD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color w:val="FF0000"/>
          <w:sz w:val="44"/>
          <w:szCs w:val="44"/>
          <w:lang w:eastAsia="cs-CZ"/>
        </w:rPr>
      </w:pPr>
      <w:r w:rsidRPr="004475DD">
        <w:rPr>
          <w:rFonts w:ascii="Calibri" w:eastAsia="Times New Roman" w:hAnsi="Calibri" w:cs="Times New Roman"/>
          <w:b/>
          <w:caps/>
          <w:color w:val="FF0000"/>
          <w:sz w:val="44"/>
          <w:szCs w:val="44"/>
          <w:lang w:eastAsia="cs-CZ"/>
        </w:rPr>
        <w:t xml:space="preserve"> </w:t>
      </w:r>
      <w:r w:rsidRPr="004475DD">
        <w:rPr>
          <w:rFonts w:ascii="Calibri" w:eastAsia="Times New Roman" w:hAnsi="Calibri" w:cs="Times New Roman"/>
          <w:b/>
          <w:color w:val="FF0000"/>
          <w:sz w:val="44"/>
          <w:szCs w:val="44"/>
          <w:lang w:eastAsia="cs-CZ"/>
        </w:rPr>
        <w:t>č</w:t>
      </w:r>
      <w:r w:rsidRPr="004475DD">
        <w:rPr>
          <w:rFonts w:ascii="Calibri" w:eastAsia="Times New Roman" w:hAnsi="Calibri" w:cs="Times New Roman"/>
          <w:b/>
          <w:caps/>
          <w:color w:val="FF0000"/>
          <w:sz w:val="44"/>
          <w:szCs w:val="44"/>
          <w:lang w:eastAsia="cs-CZ"/>
        </w:rPr>
        <w:t xml:space="preserve">. </w:t>
      </w:r>
      <w:r w:rsidR="00904E4C" w:rsidRPr="00904E4C">
        <w:rPr>
          <w:rFonts w:ascii="Calibri" w:eastAsia="Times New Roman" w:hAnsi="Calibri" w:cs="Times New Roman"/>
          <w:b/>
          <w:caps/>
          <w:color w:val="FF0000"/>
          <w:sz w:val="44"/>
          <w:szCs w:val="44"/>
          <w:lang w:eastAsia="cs-CZ"/>
        </w:rPr>
        <w:t>/2021</w:t>
      </w:r>
    </w:p>
    <w:p w:rsidR="004475DD" w:rsidRPr="004475DD" w:rsidRDefault="004475DD" w:rsidP="00447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</w:p>
    <w:p w:rsidR="004475DD" w:rsidRPr="004475DD" w:rsidRDefault="004475DD" w:rsidP="00447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</w:p>
    <w:p w:rsidR="004475DD" w:rsidRPr="004475DD" w:rsidRDefault="004475DD" w:rsidP="004475DD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Calibri" w:eastAsia="Arial Unicode MS" w:hAnsi="Calibri" w:cs="Tahoma"/>
          <w:b/>
          <w:kern w:val="1"/>
          <w:sz w:val="28"/>
          <w:szCs w:val="28"/>
          <w:lang w:eastAsia="hi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75DD">
        <w:rPr>
          <w:rFonts w:ascii="Calibri" w:eastAsia="Arial Unicode MS" w:hAnsi="Calibri" w:cs="Tahoma"/>
          <w:b/>
          <w:kern w:val="1"/>
          <w:sz w:val="28"/>
          <w:szCs w:val="28"/>
          <w:lang w:eastAsia="hi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 dani z nehnuteľností</w:t>
      </w:r>
    </w:p>
    <w:p w:rsidR="004475DD" w:rsidRPr="004475DD" w:rsidRDefault="004475DD" w:rsidP="004475DD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Arial Unicode MS" w:hAnsi="Times New Roman" w:cs="Tahoma"/>
          <w:b/>
          <w:kern w:val="1"/>
          <w:sz w:val="36"/>
          <w:szCs w:val="36"/>
          <w:lang w:eastAsia="hi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kern w:val="1"/>
          <w:sz w:val="24"/>
          <w:szCs w:val="24"/>
          <w:lang w:eastAsia="sk-SK" w:bidi="hi-IN"/>
        </w:rPr>
      </w:pP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kern w:val="1"/>
          <w:sz w:val="24"/>
          <w:szCs w:val="24"/>
          <w:lang w:eastAsia="sk-SK" w:bidi="hi-IN"/>
        </w:rPr>
      </w:pPr>
      <w:r w:rsidRPr="004475DD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fldChar w:fldCharType="begin"/>
      </w:r>
      <w:r w:rsidRPr="004475DD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instrText xml:space="preserve"> INCLUDEPICTURE "http://www.ngw.nl/heraldrywiki/images/1/1a/Richvald.jpg" \* MERGEFORMATINET </w:instrText>
      </w:r>
      <w:r w:rsidRPr="004475DD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fldChar w:fldCharType="separate"/>
      </w:r>
      <w:r w:rsidRPr="004475DD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222pt">
            <v:imagedata r:id="rId5" r:href="rId6"/>
          </v:shape>
        </w:pict>
      </w:r>
      <w:r w:rsidRPr="004475DD"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  <w:fldChar w:fldCharType="end"/>
      </w: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kern w:val="1"/>
          <w:sz w:val="24"/>
          <w:szCs w:val="24"/>
          <w:lang w:eastAsia="sk-SK" w:bidi="hi-IN"/>
        </w:rPr>
      </w:pPr>
    </w:p>
    <w:p w:rsidR="004475DD" w:rsidRPr="004475DD" w:rsidRDefault="004475DD" w:rsidP="00447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</w:p>
    <w:p w:rsidR="004475DD" w:rsidRPr="004475DD" w:rsidRDefault="004475DD" w:rsidP="004475DD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spacing w:after="120" w:line="240" w:lineRule="auto"/>
        <w:jc w:val="both"/>
        <w:rPr>
          <w:rFonts w:ascii="Times New Roman" w:eastAsia="Arial Unicode MS" w:hAnsi="Times New Roman" w:cs="Tahoma"/>
          <w:b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</w:pPr>
      <w:r w:rsidRPr="004475DD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  <w:t xml:space="preserve">Návrh vyvesený dňa: </w:t>
      </w:r>
      <w:r w:rsidR="00904E4C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  <w:t>05</w:t>
      </w:r>
      <w:r w:rsidRPr="004475DD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  <w:t>.11</w:t>
      </w:r>
      <w:r w:rsidR="00904E4C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  <w:t>.2021</w:t>
      </w:r>
    </w:p>
    <w:p w:rsidR="004475DD" w:rsidRPr="004475DD" w:rsidRDefault="004475DD" w:rsidP="004475DD">
      <w:pPr>
        <w:widowControl w:val="0"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</w:pPr>
      <w:r w:rsidRPr="004475DD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  <w:t xml:space="preserve">VZN schválené dňa:  </w:t>
      </w:r>
    </w:p>
    <w:p w:rsidR="004475DD" w:rsidRPr="004475DD" w:rsidRDefault="004475DD" w:rsidP="004475DD">
      <w:pPr>
        <w:widowControl w:val="0"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</w:pPr>
      <w:r w:rsidRPr="004475DD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  <w:t xml:space="preserve">VZN vyvesené dňa:   </w:t>
      </w:r>
      <w:r w:rsidRPr="004475DD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  <w:tab/>
      </w:r>
    </w:p>
    <w:p w:rsidR="004475DD" w:rsidRPr="004475DD" w:rsidRDefault="004475DD" w:rsidP="004475DD">
      <w:pPr>
        <w:widowControl w:val="0"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ahoma"/>
          <w:color w:val="FF0000"/>
          <w:kern w:val="1"/>
          <w:sz w:val="24"/>
          <w:szCs w:val="24"/>
          <w:lang w:eastAsia="hi-IN" w:bidi="hi-IN"/>
        </w:rPr>
      </w:pPr>
      <w:r w:rsidRPr="004475DD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  <w:t xml:space="preserve">VZN účinné od: </w:t>
      </w:r>
      <w:r w:rsidRPr="004475DD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  <w:tab/>
      </w:r>
      <w:r w:rsidR="00904E4C" w:rsidRPr="00904E4C">
        <w:rPr>
          <w:rFonts w:ascii="Times New Roman" w:eastAsia="Times New Roman" w:hAnsi="Times New Roman" w:cs="Tahoma"/>
          <w:color w:val="FF0000"/>
          <w:kern w:val="1"/>
          <w:sz w:val="24"/>
          <w:szCs w:val="24"/>
          <w:lang w:eastAsia="hi-IN" w:bidi="hi-IN"/>
        </w:rPr>
        <w:t>01.01.2022</w:t>
      </w:r>
    </w:p>
    <w:p w:rsidR="004475DD" w:rsidRPr="004475DD" w:rsidRDefault="004475DD" w:rsidP="004475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lastRenderedPageBreak/>
        <w:t xml:space="preserve">     Obec Richvald  v súlade s ustanovením § 6 ods. 1 zákona č. 369/1990 Zb. o obecnom zriadení v znení neskorších predpisov a ustanoveniami § 7 ods. 4 ,5 a 6, § 8 ods. </w:t>
      </w:r>
      <w:smartTag w:uri="urn:schemas-microsoft-com:office:smarttags" w:element="metricconverter">
        <w:smartTagPr>
          <w:attr w:name="ProductID" w:val="2 a"/>
        </w:smartTagPr>
        <w:r w:rsidRPr="004475DD">
          <w:rPr>
            <w:rFonts w:ascii="Calibri" w:eastAsia="Arial Unicode MS" w:hAnsi="Calibri" w:cs="Tahoma"/>
            <w:kern w:val="1"/>
            <w:sz w:val="24"/>
            <w:szCs w:val="24"/>
            <w:lang w:eastAsia="hi-IN" w:bidi="hi-IN"/>
          </w:rPr>
          <w:t>2 a</w:t>
        </w:r>
      </w:smartTag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 4, § 12 ods.  </w:t>
      </w:r>
      <w:smartTag w:uri="urn:schemas-microsoft-com:office:smarttags" w:element="metricconverter">
        <w:smartTagPr>
          <w:attr w:name="ProductID" w:val="2 a"/>
        </w:smartTagPr>
        <w:r w:rsidRPr="004475DD">
          <w:rPr>
            <w:rFonts w:ascii="Calibri" w:eastAsia="Arial Unicode MS" w:hAnsi="Calibri" w:cs="Tahoma"/>
            <w:kern w:val="1"/>
            <w:sz w:val="24"/>
            <w:szCs w:val="24"/>
            <w:lang w:eastAsia="hi-IN" w:bidi="hi-IN"/>
          </w:rPr>
          <w:t>2 a</w:t>
        </w:r>
      </w:smartTag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 3, § 16 ods.  </w:t>
      </w:r>
      <w:smartTag w:uri="urn:schemas-microsoft-com:office:smarttags" w:element="metricconverter">
        <w:smartTagPr>
          <w:attr w:name="ProductID" w:val="2 a"/>
        </w:smartTagPr>
        <w:r w:rsidRPr="004475DD">
          <w:rPr>
            <w:rFonts w:ascii="Calibri" w:eastAsia="Arial Unicode MS" w:hAnsi="Calibri" w:cs="Tahoma"/>
            <w:kern w:val="1"/>
            <w:sz w:val="24"/>
            <w:szCs w:val="24"/>
            <w:lang w:eastAsia="hi-IN" w:bidi="hi-IN"/>
          </w:rPr>
          <w:t>2 a</w:t>
        </w:r>
      </w:smartTag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 3, § 17 ods. 2, 3, 4  a 7, § 98,  98b ods. </w:t>
      </w:r>
      <w:smartTag w:uri="urn:schemas-microsoft-com:office:smarttags" w:element="metricconverter">
        <w:smartTagPr>
          <w:attr w:name="ProductID" w:val="5 a"/>
        </w:smartTagPr>
        <w:r w:rsidRPr="004475DD">
          <w:rPr>
            <w:rFonts w:ascii="Calibri" w:eastAsia="Arial Unicode MS" w:hAnsi="Calibri" w:cs="Tahoma"/>
            <w:kern w:val="1"/>
            <w:sz w:val="24"/>
            <w:szCs w:val="24"/>
            <w:lang w:eastAsia="hi-IN" w:bidi="hi-IN"/>
          </w:rPr>
          <w:t>5 a</w:t>
        </w:r>
      </w:smartTag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 § 99e ods.9 zákona č. 582/2004 Z.z. o miestnych daniach a miestnom poplatku za komunálne odpady a drobné stavebné odpady  v znení neskorších predpisov   v y d á v a pre územie obce Richvald:</w:t>
      </w:r>
    </w:p>
    <w:p w:rsidR="004475DD" w:rsidRPr="004475DD" w:rsidRDefault="004475DD" w:rsidP="004475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 </w:t>
      </w:r>
    </w:p>
    <w:p w:rsidR="004475DD" w:rsidRPr="004475DD" w:rsidRDefault="004475DD" w:rsidP="004475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lang w:eastAsia="sk-SK"/>
        </w:rPr>
      </w:pPr>
      <w:r w:rsidRPr="004475DD">
        <w:rPr>
          <w:rFonts w:ascii="Calibri" w:eastAsia="Arial Unicode MS" w:hAnsi="Calibri" w:cs="Tahoma"/>
          <w:kern w:val="1"/>
          <w:sz w:val="32"/>
          <w:szCs w:val="32"/>
          <w:lang w:eastAsia="hi-IN" w:bidi="hi-IN"/>
        </w:rPr>
        <w:t xml:space="preserve"> </w:t>
      </w:r>
      <w:r w:rsidRPr="004475DD">
        <w:rPr>
          <w:rFonts w:ascii="Calibri" w:eastAsia="Times New Roman" w:hAnsi="Calibri" w:cs="Times New Roman"/>
          <w:b/>
          <w:bCs/>
          <w:sz w:val="32"/>
          <w:szCs w:val="32"/>
          <w:lang w:eastAsia="sk-SK"/>
        </w:rPr>
        <w:t xml:space="preserve">VŠEOBECNE ZÁVÄZNÉ NARIADENIE </w:t>
      </w:r>
    </w:p>
    <w:p w:rsidR="004475DD" w:rsidRPr="004475DD" w:rsidRDefault="004475DD" w:rsidP="004475DD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Calibri" w:eastAsia="Times New Roman" w:hAnsi="Calibri" w:cs="Times New Roman"/>
          <w:b/>
          <w:bCs/>
          <w:sz w:val="32"/>
          <w:szCs w:val="32"/>
          <w:lang w:eastAsia="sk-SK"/>
        </w:rPr>
      </w:pPr>
      <w:r w:rsidRPr="004475DD">
        <w:rPr>
          <w:rFonts w:ascii="Calibri" w:eastAsia="Times New Roman" w:hAnsi="Calibri" w:cs="Times New Roman"/>
          <w:b/>
          <w:bCs/>
          <w:sz w:val="32"/>
          <w:szCs w:val="32"/>
          <w:lang w:eastAsia="sk-SK"/>
        </w:rPr>
        <w:t>OBCE RICHVALD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kern w:val="1"/>
          <w:sz w:val="24"/>
          <w:szCs w:val="24"/>
          <w:lang w:eastAsia="sk-SK"/>
        </w:rPr>
      </w:pPr>
    </w:p>
    <w:p w:rsidR="004475DD" w:rsidRPr="008C06E8" w:rsidRDefault="004475DD" w:rsidP="004475DD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Calibri" w:eastAsia="Arial Unicode MS" w:hAnsi="Calibri" w:cs="Tahoma"/>
          <w:b/>
          <w:color w:val="FF0000"/>
          <w:kern w:val="1"/>
          <w:sz w:val="32"/>
          <w:szCs w:val="32"/>
          <w:lang w:eastAsia="hi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06E8">
        <w:rPr>
          <w:rFonts w:ascii="Calibri" w:eastAsia="Arial Unicode MS" w:hAnsi="Calibri" w:cs="Tahoma"/>
          <w:b/>
          <w:color w:val="FF0000"/>
          <w:kern w:val="1"/>
          <w:sz w:val="32"/>
          <w:szCs w:val="32"/>
          <w:lang w:eastAsia="hi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č. </w:t>
      </w:r>
      <w:r w:rsidR="008C06E8" w:rsidRPr="008C06E8">
        <w:rPr>
          <w:rFonts w:ascii="Calibri" w:eastAsia="Arial Unicode MS" w:hAnsi="Calibri" w:cs="Tahoma"/>
          <w:b/>
          <w:color w:val="FF0000"/>
          <w:kern w:val="1"/>
          <w:sz w:val="32"/>
          <w:szCs w:val="32"/>
          <w:lang w:eastAsia="hi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/2021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Calibri" w:eastAsia="Arial Unicode MS" w:hAnsi="Calibri" w:cs="Tahoma"/>
          <w:b/>
          <w:kern w:val="1"/>
          <w:sz w:val="32"/>
          <w:szCs w:val="32"/>
          <w:lang w:eastAsia="hi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75DD">
        <w:rPr>
          <w:rFonts w:ascii="Calibri" w:eastAsia="Arial Unicode MS" w:hAnsi="Calibri" w:cs="Tahoma"/>
          <w:b/>
          <w:kern w:val="1"/>
          <w:sz w:val="32"/>
          <w:szCs w:val="32"/>
          <w:lang w:eastAsia="hi-IN" w:bidi="hi-I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 dani z nehnuteľností</w:t>
      </w:r>
    </w:p>
    <w:p w:rsidR="004475DD" w:rsidRPr="004475DD" w:rsidRDefault="004475DD" w:rsidP="004475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8"/>
          <w:szCs w:val="28"/>
          <w:lang w:eastAsia="hi-IN" w:bidi="hi-IN"/>
        </w:rPr>
      </w:pPr>
      <w:r w:rsidRPr="004475DD">
        <w:rPr>
          <w:rFonts w:ascii="Calibri" w:eastAsia="Arial Unicode MS" w:hAnsi="Calibri" w:cs="Tahoma"/>
          <w:b/>
          <w:kern w:val="1"/>
          <w:sz w:val="28"/>
          <w:szCs w:val="28"/>
          <w:lang w:eastAsia="hi-IN" w:bidi="hi-IN"/>
        </w:rPr>
        <w:t>Základné  ustanovenie</w:t>
      </w:r>
    </w:p>
    <w:p w:rsidR="004475DD" w:rsidRPr="004475DD" w:rsidRDefault="004475DD" w:rsidP="004475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8"/>
          <w:szCs w:val="28"/>
          <w:lang w:eastAsia="hi-IN" w:bidi="hi-IN"/>
        </w:rPr>
      </w:pPr>
    </w:p>
    <w:p w:rsidR="004475DD" w:rsidRPr="004475DD" w:rsidRDefault="004475DD" w:rsidP="004475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   (1) Obecné zastupiteľstvo v Richvalde podľa § 11 ods. 4 písm. d)  a e) zákona č. 369/1990 Zb. o obecnom zriadení v znení neskorších predpisov  r o z h o d l o, že v nadväznosti na § 98 zákona č. 582/2004 Z.z. o miestnych daniach a miestnom poplatku za komunálne odpady a drobné stavebné odpady v znení neskorších predpisov  z a v á d z a</w:t>
      </w:r>
      <w:r w:rsidRPr="004475DD"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  <w:t xml:space="preserve">  s účinnosťou od </w:t>
      </w:r>
      <w:r w:rsidRPr="004475DD">
        <w:rPr>
          <w:rFonts w:ascii="Calibri" w:eastAsia="Arial Unicode MS" w:hAnsi="Calibri" w:cs="Tahoma"/>
          <w:b/>
          <w:color w:val="FF0000"/>
          <w:kern w:val="1"/>
          <w:sz w:val="24"/>
          <w:szCs w:val="24"/>
          <w:lang w:eastAsia="hi-IN" w:bidi="hi-IN"/>
        </w:rPr>
        <w:t>1. januára 20</w:t>
      </w:r>
      <w:r w:rsidR="008C06E8" w:rsidRPr="008C06E8">
        <w:rPr>
          <w:rFonts w:ascii="Calibri" w:eastAsia="Arial Unicode MS" w:hAnsi="Calibri" w:cs="Tahoma"/>
          <w:b/>
          <w:color w:val="FF0000"/>
          <w:kern w:val="1"/>
          <w:sz w:val="24"/>
          <w:szCs w:val="24"/>
          <w:lang w:eastAsia="hi-IN" w:bidi="hi-IN"/>
        </w:rPr>
        <w:t>22</w:t>
      </w:r>
    </w:p>
    <w:p w:rsidR="004475DD" w:rsidRPr="004475DD" w:rsidRDefault="004475DD" w:rsidP="004475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  <w:t>d a ň  z  n e h n u t e ľ n o s t í.</w:t>
      </w:r>
    </w:p>
    <w:p w:rsidR="004475DD" w:rsidRPr="004475DD" w:rsidRDefault="004475DD" w:rsidP="004475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   (2) Toto všeobecne záväzné nariadenie upravuje podmienky určovania</w:t>
      </w:r>
    </w:p>
    <w:p w:rsidR="004475DD" w:rsidRPr="004475DD" w:rsidRDefault="004475DD" w:rsidP="004475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, vyrubovania a vyberania dane z nehnuteľností, ako aj podmienky zníženia a oslobodenia od dane z nehnuteľností na území obce Richvald v zdaňovacom období </w:t>
      </w:r>
      <w:r w:rsidRPr="004475DD">
        <w:rPr>
          <w:rFonts w:ascii="Calibri" w:eastAsia="Arial Unicode MS" w:hAnsi="Calibri" w:cs="Tahoma"/>
          <w:color w:val="FF0000"/>
          <w:kern w:val="1"/>
          <w:sz w:val="24"/>
          <w:szCs w:val="24"/>
          <w:lang w:eastAsia="hi-IN" w:bidi="hi-IN"/>
        </w:rPr>
        <w:t>2</w:t>
      </w:r>
      <w:r w:rsidR="00950DEC" w:rsidRPr="00950DEC">
        <w:rPr>
          <w:rFonts w:ascii="Calibri" w:eastAsia="Arial Unicode MS" w:hAnsi="Calibri" w:cs="Tahoma"/>
          <w:color w:val="FF0000"/>
          <w:kern w:val="1"/>
          <w:sz w:val="24"/>
          <w:szCs w:val="24"/>
          <w:lang w:eastAsia="hi-IN" w:bidi="hi-IN"/>
        </w:rPr>
        <w:t>022</w:t>
      </w:r>
      <w:r w:rsidRPr="004475DD">
        <w:rPr>
          <w:rFonts w:ascii="Calibri" w:eastAsia="Arial Unicode MS" w:hAnsi="Calibri" w:cs="Tahoma"/>
          <w:color w:val="FF0000"/>
          <w:kern w:val="1"/>
          <w:sz w:val="24"/>
          <w:szCs w:val="24"/>
          <w:lang w:eastAsia="hi-IN" w:bidi="hi-IN"/>
        </w:rPr>
        <w:t>.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Tahoma"/>
          <w:b/>
          <w:bCs/>
          <w:kern w:val="1"/>
          <w:sz w:val="28"/>
          <w:szCs w:val="28"/>
          <w:lang w:eastAsia="hi-IN" w:bidi="hi-IN"/>
        </w:rPr>
      </w:pPr>
      <w:r w:rsidRPr="004475DD">
        <w:rPr>
          <w:rFonts w:ascii="Calibri" w:eastAsia="Times New Roman" w:hAnsi="Calibri" w:cs="Tahoma"/>
          <w:b/>
          <w:bCs/>
          <w:kern w:val="1"/>
          <w:sz w:val="28"/>
          <w:szCs w:val="28"/>
          <w:lang w:eastAsia="hi-IN" w:bidi="hi-IN"/>
        </w:rPr>
        <w:t>1. DAŇ Z POZEMKOV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  <w:t>Čl. I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  <w:t>Základ dane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>1. Správca dane ustanovuje na území obce Richvald hodnotu pozemku, ktorou  sa pri výpočte základu dane z pozemkov násobí výmera pozemku v m</w:t>
      </w:r>
      <w:r w:rsidRPr="004475DD">
        <w:rPr>
          <w:rFonts w:ascii="Calibri" w:eastAsia="Arial Unicode MS" w:hAnsi="Calibri" w:cs="Tahoma"/>
          <w:kern w:val="1"/>
          <w:sz w:val="24"/>
          <w:szCs w:val="24"/>
          <w:vertAlign w:val="superscript"/>
          <w:lang w:eastAsia="hi-IN" w:bidi="hi-IN"/>
        </w:rPr>
        <w:t>2</w:t>
      </w: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 za: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a) ornú pôdu, chmeľnice, vinice, ovocné sady 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lang w:eastAsia="hi-IN" w:bidi="hi-IN"/>
        </w:rPr>
        <w:t>0,2539 €/m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vertAlign w:val="superscript"/>
          <w:lang w:eastAsia="hi-IN" w:bidi="hi-IN"/>
        </w:rPr>
        <w:t>2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>,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b) trvale trávnaté porasty 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lang w:eastAsia="hi-IN" w:bidi="hi-IN"/>
        </w:rPr>
        <w:t>0,0385 €/m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vertAlign w:val="superscript"/>
          <w:lang w:eastAsia="hi-IN" w:bidi="hi-IN"/>
        </w:rPr>
        <w:t>2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>,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c) lesné pozemky, na ktorých sú hospodárske lesy, rybníky s chovom rýb a ostatne hospodársky využívané vodné plochy 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lang w:eastAsia="hi-IN" w:bidi="hi-IN"/>
        </w:rPr>
        <w:t>0,0900 €/m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vertAlign w:val="superscript"/>
          <w:lang w:eastAsia="hi-IN" w:bidi="hi-IN"/>
        </w:rPr>
        <w:t>2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,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d) hodnota pozemkov za každý i začatý m</w:t>
      </w:r>
      <w:r w:rsidRPr="004475DD">
        <w:rPr>
          <w:rFonts w:ascii="Calibri" w:eastAsia="Times New Roman" w:hAnsi="Calibri" w:cs="Tahoma"/>
          <w:kern w:val="1"/>
          <w:sz w:val="24"/>
          <w:szCs w:val="24"/>
          <w:vertAlign w:val="superscript"/>
          <w:lang w:eastAsia="hi-IN" w:bidi="hi-IN"/>
        </w:rPr>
        <w:t>2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pozemku: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ab/>
        <w:t xml:space="preserve">- záhrady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1,32 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lang w:eastAsia="hi-IN" w:bidi="hi-IN"/>
        </w:rPr>
        <w:t>€/m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vertAlign w:val="superscript"/>
          <w:lang w:eastAsia="hi-IN" w:bidi="hi-IN"/>
        </w:rPr>
        <w:t>2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,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ab/>
        <w:t xml:space="preserve">- zastavané plochy a nádvoria, ostatné plochy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1,32 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lang w:eastAsia="hi-IN" w:bidi="hi-IN"/>
        </w:rPr>
        <w:t>€/m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vertAlign w:val="superscript"/>
          <w:lang w:eastAsia="hi-IN" w:bidi="hi-IN"/>
        </w:rPr>
        <w:t>2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,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ab/>
        <w:t xml:space="preserve">- stavebné pozemky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13,27 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lang w:eastAsia="hi-IN" w:bidi="hi-IN"/>
        </w:rPr>
        <w:t>€/m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vertAlign w:val="superscript"/>
          <w:lang w:eastAsia="hi-IN" w:bidi="hi-IN"/>
        </w:rPr>
        <w:t>2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.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2. Hodnoty pozemkov sú stanovené podľa </w:t>
      </w: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>prílohy č. 1 a č. 2 zákona 582/2004 Z.z..</w:t>
      </w:r>
    </w:p>
    <w:p w:rsidR="004475DD" w:rsidRPr="004475DD" w:rsidRDefault="004475DD" w:rsidP="004475DD">
      <w:pPr>
        <w:widowControl w:val="0"/>
        <w:tabs>
          <w:tab w:val="left" w:pos="405"/>
        </w:tabs>
        <w:suppressAutoHyphens/>
        <w:spacing w:after="0" w:line="240" w:lineRule="auto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3. Základom dane z pozemkov je hodnota pozemku podľa ods.4 vynásobená výmerou v m</w:t>
      </w:r>
      <w:r w:rsidRPr="004475DD">
        <w:rPr>
          <w:rFonts w:ascii="Calibri" w:eastAsia="Times New Roman" w:hAnsi="Calibri" w:cs="Tahoma"/>
          <w:kern w:val="1"/>
          <w:sz w:val="24"/>
          <w:szCs w:val="24"/>
          <w:vertAlign w:val="superscript"/>
          <w:lang w:eastAsia="hi-IN" w:bidi="hi-IN"/>
        </w:rPr>
        <w:t>2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.</w:t>
      </w:r>
    </w:p>
    <w:p w:rsidR="004475DD" w:rsidRPr="004475DD" w:rsidRDefault="004475DD" w:rsidP="004475DD">
      <w:pPr>
        <w:widowControl w:val="0"/>
        <w:tabs>
          <w:tab w:val="left" w:pos="405"/>
        </w:tabs>
        <w:suppressAutoHyphens/>
        <w:spacing w:after="0" w:line="240" w:lineRule="auto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  <w:t>Čl.II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  <w:t>Sadzba dane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imes New Roman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imes New Roman"/>
          <w:kern w:val="1"/>
          <w:sz w:val="24"/>
          <w:szCs w:val="24"/>
          <w:lang w:eastAsia="hi-IN" w:bidi="hi-IN"/>
        </w:rPr>
        <w:lastRenderedPageBreak/>
        <w:t xml:space="preserve">1.   </w:t>
      </w:r>
      <w:r w:rsidRPr="004475DD">
        <w:rPr>
          <w:rFonts w:ascii="Calibri" w:eastAsia="Arial Unicode MS" w:hAnsi="Calibri" w:cs="Times New Roman"/>
          <w:kern w:val="1"/>
          <w:sz w:val="24"/>
          <w:szCs w:val="24"/>
          <w:lang w:eastAsia="hi-IN" w:bidi="hi-IN"/>
        </w:rPr>
        <w:t xml:space="preserve">Správca dane určuje pre  pozemky na území obce Richvald ročnú sadzbu dane z pozemkov: 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imes New Roman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imes New Roman"/>
          <w:kern w:val="1"/>
          <w:sz w:val="24"/>
          <w:szCs w:val="24"/>
          <w:lang w:eastAsia="hi-IN" w:bidi="hi-IN"/>
        </w:rPr>
        <w:t xml:space="preserve">a) orná pôda, chmeľnice, vinice, ovocné sady, trvalé trávnaté porasty  </w:t>
      </w:r>
      <w:r w:rsidRPr="004475DD">
        <w:rPr>
          <w:rFonts w:ascii="Calibri" w:eastAsia="Arial Unicode MS" w:hAnsi="Calibri" w:cs="Times New Roman"/>
          <w:b/>
          <w:kern w:val="1"/>
          <w:sz w:val="24"/>
          <w:szCs w:val="24"/>
          <w:lang w:eastAsia="hi-IN" w:bidi="hi-IN"/>
        </w:rPr>
        <w:t>1,15%,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imes New Roman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imes New Roman"/>
          <w:kern w:val="1"/>
          <w:sz w:val="24"/>
          <w:szCs w:val="24"/>
          <w:lang w:eastAsia="hi-IN" w:bidi="hi-IN"/>
        </w:rPr>
        <w:t xml:space="preserve">b) záhrady </w:t>
      </w:r>
      <w:r w:rsidRPr="004475DD">
        <w:rPr>
          <w:rFonts w:ascii="Calibri" w:eastAsia="Arial Unicode MS" w:hAnsi="Calibri" w:cs="Times New Roman"/>
          <w:b/>
          <w:kern w:val="1"/>
          <w:sz w:val="24"/>
          <w:szCs w:val="24"/>
          <w:lang w:eastAsia="hi-IN" w:bidi="hi-IN"/>
        </w:rPr>
        <w:t>0,50 %,</w:t>
      </w:r>
      <w:r w:rsidRPr="004475DD">
        <w:rPr>
          <w:rFonts w:ascii="Calibri" w:eastAsia="Arial Unicode MS" w:hAnsi="Calibri" w:cs="Times New Roman"/>
          <w:kern w:val="1"/>
          <w:sz w:val="24"/>
          <w:szCs w:val="24"/>
          <w:lang w:eastAsia="hi-IN" w:bidi="hi-IN"/>
        </w:rPr>
        <w:t xml:space="preserve"> 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imes New Roman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imes New Roman"/>
          <w:kern w:val="1"/>
          <w:sz w:val="24"/>
          <w:szCs w:val="24"/>
          <w:lang w:eastAsia="hi-IN" w:bidi="hi-IN"/>
        </w:rPr>
        <w:t xml:space="preserve">c) zastavané plochy a nádvoria </w:t>
      </w:r>
      <w:r w:rsidRPr="004475DD">
        <w:rPr>
          <w:rFonts w:ascii="Calibri" w:eastAsia="Arial Unicode MS" w:hAnsi="Calibri" w:cs="Times New Roman"/>
          <w:b/>
          <w:kern w:val="1"/>
          <w:sz w:val="24"/>
          <w:szCs w:val="24"/>
          <w:lang w:eastAsia="hi-IN" w:bidi="hi-IN"/>
        </w:rPr>
        <w:t xml:space="preserve">0.50%, 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imes New Roman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imes New Roman"/>
          <w:kern w:val="1"/>
          <w:sz w:val="24"/>
          <w:szCs w:val="24"/>
          <w:lang w:eastAsia="hi-IN" w:bidi="hi-IN"/>
        </w:rPr>
        <w:t xml:space="preserve">d) lesné pozemky, na ktorých sú hospodárske lesy,  rybníky s chovom rýb a ostatné hospodársky   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imes New Roman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imes New Roman"/>
          <w:kern w:val="1"/>
          <w:sz w:val="24"/>
          <w:szCs w:val="24"/>
          <w:lang w:eastAsia="hi-IN" w:bidi="hi-IN"/>
        </w:rPr>
        <w:t xml:space="preserve">    využívané vodné plochy </w:t>
      </w:r>
      <w:r w:rsidRPr="004475DD">
        <w:rPr>
          <w:rFonts w:ascii="Calibri" w:eastAsia="Arial Unicode MS" w:hAnsi="Calibri" w:cs="Times New Roman"/>
          <w:b/>
          <w:kern w:val="1"/>
          <w:sz w:val="24"/>
          <w:szCs w:val="24"/>
          <w:lang w:eastAsia="hi-IN" w:bidi="hi-IN"/>
        </w:rPr>
        <w:t>0,75%,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imes New Roman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imes New Roman"/>
          <w:kern w:val="1"/>
          <w:sz w:val="24"/>
          <w:szCs w:val="24"/>
          <w:lang w:eastAsia="hi-IN" w:bidi="hi-IN"/>
        </w:rPr>
        <w:t xml:space="preserve">e) stavebné pozemky ostatné plochy </w:t>
      </w:r>
      <w:r w:rsidRPr="004475DD">
        <w:rPr>
          <w:rFonts w:ascii="Calibri" w:eastAsia="Arial Unicode MS" w:hAnsi="Calibri" w:cs="Times New Roman"/>
          <w:b/>
          <w:kern w:val="1"/>
          <w:sz w:val="24"/>
          <w:szCs w:val="24"/>
          <w:lang w:eastAsia="hi-IN" w:bidi="hi-IN"/>
        </w:rPr>
        <w:t>0,50 %.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Times New Roman"/>
          <w:b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Tahoma"/>
          <w:b/>
          <w:bCs/>
          <w:kern w:val="1"/>
          <w:sz w:val="28"/>
          <w:szCs w:val="28"/>
          <w:lang w:eastAsia="hi-IN" w:bidi="hi-IN"/>
        </w:rPr>
      </w:pPr>
      <w:r w:rsidRPr="004475DD">
        <w:rPr>
          <w:rFonts w:ascii="Calibri" w:eastAsia="Times New Roman" w:hAnsi="Calibri" w:cs="Tahoma"/>
          <w:b/>
          <w:bCs/>
          <w:kern w:val="1"/>
          <w:sz w:val="28"/>
          <w:szCs w:val="28"/>
          <w:lang w:eastAsia="hi-IN" w:bidi="hi-IN"/>
        </w:rPr>
        <w:t>2. DAŇ  ZO  STAVIEB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  <w:t>Čl. I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  <w:t>Sadzba dane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tabs>
          <w:tab w:val="left" w:pos="405"/>
        </w:tabs>
        <w:suppressAutoHyphens/>
        <w:spacing w:after="0" w:line="240" w:lineRule="auto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>1.  Ročná sadzba dane zo stavieb je za každý aj začatý m</w:t>
      </w:r>
      <w:r w:rsidRPr="004475DD">
        <w:rPr>
          <w:rFonts w:ascii="Calibri" w:eastAsia="Arial Unicode MS" w:hAnsi="Calibri" w:cs="Tahoma"/>
          <w:kern w:val="1"/>
          <w:sz w:val="24"/>
          <w:szCs w:val="24"/>
          <w:vertAlign w:val="superscript"/>
          <w:lang w:eastAsia="hi-IN" w:bidi="hi-IN"/>
        </w:rPr>
        <w:t>2</w:t>
      </w: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 zastavanej plochy:</w:t>
      </w:r>
    </w:p>
    <w:p w:rsidR="004475DD" w:rsidRPr="004475DD" w:rsidRDefault="004475DD" w:rsidP="004475DD">
      <w:pPr>
        <w:widowControl w:val="0"/>
        <w:numPr>
          <w:ilvl w:val="0"/>
          <w:numId w:val="3"/>
        </w:numPr>
        <w:tabs>
          <w:tab w:val="left" w:pos="615"/>
        </w:tabs>
        <w:suppressAutoHyphens/>
        <w:spacing w:after="0" w:line="240" w:lineRule="auto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lang w:eastAsia="hi-IN" w:bidi="hi-IN"/>
        </w:rPr>
        <w:t xml:space="preserve">  0,050 €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   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za  stavby  na bývanie  a drobné stavby, ktoré majú doplnkovú funkciu pre hlavnú  stavbu,</w:t>
      </w:r>
    </w:p>
    <w:p w:rsidR="004475DD" w:rsidRPr="004475DD" w:rsidRDefault="004475DD" w:rsidP="004475DD">
      <w:pPr>
        <w:widowControl w:val="0"/>
        <w:numPr>
          <w:ilvl w:val="0"/>
          <w:numId w:val="3"/>
        </w:numPr>
        <w:tabs>
          <w:tab w:val="left" w:pos="615"/>
        </w:tabs>
        <w:suppressAutoHyphens/>
        <w:spacing w:after="0" w:line="240" w:lineRule="auto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  0,050 €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za stavby  na  pôdohospodársku  produkciu, skleníky, stavby pre vodné hospodárstvo, stavby využívané na skladovanie vlastnej pôdohospodárskej produkcie vrátane stavieb na vlastnú administratívu,</w:t>
      </w:r>
    </w:p>
    <w:p w:rsidR="004475DD" w:rsidRPr="004475DD" w:rsidRDefault="004475DD" w:rsidP="004475DD">
      <w:pPr>
        <w:widowControl w:val="0"/>
        <w:numPr>
          <w:ilvl w:val="0"/>
          <w:numId w:val="3"/>
        </w:numPr>
        <w:tabs>
          <w:tab w:val="left" w:pos="615"/>
        </w:tabs>
        <w:suppressAutoHyphens/>
        <w:spacing w:after="0" w:line="240" w:lineRule="auto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 0,250 €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za stavby rekreačných a záhradkárskych chát a domčekov na individuálnu       rekreáciu,</w:t>
      </w:r>
    </w:p>
    <w:p w:rsidR="004475DD" w:rsidRPr="004475DD" w:rsidRDefault="004475DD" w:rsidP="004475DD">
      <w:pPr>
        <w:widowControl w:val="0"/>
        <w:numPr>
          <w:ilvl w:val="0"/>
          <w:numId w:val="3"/>
        </w:numPr>
        <w:tabs>
          <w:tab w:val="left" w:pos="615"/>
        </w:tabs>
        <w:suppressAutoHyphens/>
        <w:spacing w:after="0" w:line="240" w:lineRule="auto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>0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lang w:eastAsia="hi-IN" w:bidi="hi-IN"/>
        </w:rPr>
        <w:t>,190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 €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za samostatne stojace garáže a za samostatné stavby hromadných garáží a stavby určené alebo používané na tieto účely, postavené mimo bytových domov,</w:t>
      </w:r>
    </w:p>
    <w:p w:rsidR="004475DD" w:rsidRPr="004475DD" w:rsidRDefault="004475DD" w:rsidP="004475DD">
      <w:pPr>
        <w:widowControl w:val="0"/>
        <w:numPr>
          <w:ilvl w:val="0"/>
          <w:numId w:val="3"/>
        </w:numPr>
        <w:tabs>
          <w:tab w:val="left" w:pos="615"/>
        </w:tabs>
        <w:suppressAutoHyphens/>
        <w:spacing w:after="0" w:line="240" w:lineRule="auto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>0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lang w:eastAsia="hi-IN" w:bidi="hi-IN"/>
        </w:rPr>
        <w:t>,400 €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za  priemyselné  stavby,  stavby  slúžiace  energetike, stavby slúžiace stavebníctvu, stavby využívané na skladovanie vlastnej produkcie vrátane stavieb na vlastnú administratívu,</w:t>
      </w:r>
    </w:p>
    <w:p w:rsidR="004475DD" w:rsidRPr="004475DD" w:rsidRDefault="004475DD" w:rsidP="004475DD">
      <w:pPr>
        <w:widowControl w:val="0"/>
        <w:numPr>
          <w:ilvl w:val="0"/>
          <w:numId w:val="3"/>
        </w:numPr>
        <w:tabs>
          <w:tab w:val="left" w:pos="615"/>
        </w:tabs>
        <w:suppressAutoHyphens/>
        <w:spacing w:after="0" w:line="240" w:lineRule="auto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>0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lang w:eastAsia="hi-IN" w:bidi="hi-IN"/>
        </w:rPr>
        <w:t>,500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 €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za stavby na ostatné podnikanie a na zárobkovú činnosť, skladovanie a    administratívu súvisiacu s ostatným podnikaním a so zárobkovou činnosťou,</w:t>
      </w:r>
    </w:p>
    <w:p w:rsidR="004475DD" w:rsidRPr="004475DD" w:rsidRDefault="004475DD" w:rsidP="004475DD">
      <w:pPr>
        <w:widowControl w:val="0"/>
        <w:numPr>
          <w:ilvl w:val="0"/>
          <w:numId w:val="3"/>
        </w:numPr>
        <w:tabs>
          <w:tab w:val="left" w:pos="615"/>
        </w:tabs>
        <w:suppressAutoHyphens/>
        <w:spacing w:after="0" w:line="240" w:lineRule="auto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0,200 € 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za ostatné stavby neuvedené v písmenách a) až f).</w:t>
      </w:r>
    </w:p>
    <w:p w:rsidR="004475DD" w:rsidRPr="004475DD" w:rsidRDefault="004475DD" w:rsidP="004475DD">
      <w:pPr>
        <w:widowControl w:val="0"/>
        <w:numPr>
          <w:ilvl w:val="0"/>
          <w:numId w:val="2"/>
        </w:numPr>
        <w:tabs>
          <w:tab w:val="left" w:pos="8820"/>
        </w:tabs>
        <w:suppressAutoHyphens/>
        <w:spacing w:after="0" w:line="240" w:lineRule="auto"/>
        <w:ind w:left="420" w:hanging="360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Pri ročnej sadzbe dane podľa ods. 1 sa pri viacpodlažných stavbách určuje príplatok </w:t>
      </w:r>
      <w:r w:rsidRPr="004475DD">
        <w:rPr>
          <w:rFonts w:ascii="Calibri" w:eastAsia="Times New Roman" w:hAnsi="Calibri" w:cs="Tahoma"/>
          <w:b/>
          <w:bCs/>
          <w:kern w:val="1"/>
          <w:sz w:val="24"/>
          <w:szCs w:val="24"/>
          <w:lang w:eastAsia="hi-IN" w:bidi="hi-IN"/>
        </w:rPr>
        <w:t>0,04 €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za každé ďalšie podlažie okrem prvého nadzemného podlažia.</w:t>
      </w:r>
    </w:p>
    <w:p w:rsidR="004475DD" w:rsidRPr="004475DD" w:rsidRDefault="004475DD" w:rsidP="004475DD">
      <w:pPr>
        <w:widowControl w:val="0"/>
        <w:numPr>
          <w:ilvl w:val="0"/>
          <w:numId w:val="2"/>
        </w:numPr>
        <w:tabs>
          <w:tab w:val="left" w:pos="8818"/>
          <w:tab w:val="left" w:pos="18998"/>
        </w:tabs>
        <w:suppressAutoHyphens/>
        <w:spacing w:after="0" w:line="240" w:lineRule="auto"/>
        <w:ind w:left="419" w:hanging="357"/>
        <w:jc w:val="both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>Ak stavba slúži na viaceré účely, na ktoré sú určené rôzne sadzby podľa ods. 1 a príplatok za podlažie podľa ods. 2, pomerná časť základu dane sa zistí ako pomer podlahovej plochy časti stavby využívanej na jednotlivý účel využitia k celkovej podlahovej ploche stavby.</w:t>
      </w:r>
    </w:p>
    <w:p w:rsidR="004475DD" w:rsidRPr="004475DD" w:rsidRDefault="004475DD" w:rsidP="004475DD">
      <w:pPr>
        <w:widowControl w:val="0"/>
        <w:numPr>
          <w:ilvl w:val="0"/>
          <w:numId w:val="2"/>
        </w:numPr>
        <w:tabs>
          <w:tab w:val="left" w:pos="8818"/>
          <w:tab w:val="left" w:pos="18998"/>
        </w:tabs>
        <w:suppressAutoHyphens/>
        <w:spacing w:after="0" w:line="240" w:lineRule="auto"/>
        <w:ind w:left="419" w:hanging="357"/>
        <w:jc w:val="both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Na zaradenie stavby podľa ods. 1 je rozhodujúci účel jej využitia k 1. januáru zdaňovacieho obdobia. </w:t>
      </w:r>
    </w:p>
    <w:p w:rsidR="004475DD" w:rsidRPr="004475DD" w:rsidRDefault="004475DD" w:rsidP="004475DD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Tahoma"/>
          <w:b/>
          <w:bCs/>
          <w:kern w:val="1"/>
          <w:sz w:val="28"/>
          <w:szCs w:val="28"/>
          <w:lang w:eastAsia="hi-IN" w:bidi="hi-IN"/>
        </w:rPr>
      </w:pPr>
      <w:r w:rsidRPr="004475DD">
        <w:rPr>
          <w:rFonts w:ascii="Calibri" w:eastAsia="Times New Roman" w:hAnsi="Calibri" w:cs="Tahoma"/>
          <w:b/>
          <w:bCs/>
          <w:kern w:val="1"/>
          <w:sz w:val="28"/>
          <w:szCs w:val="28"/>
          <w:lang w:eastAsia="hi-IN" w:bidi="hi-IN"/>
        </w:rPr>
        <w:t>3. DAŇ  Z BYTOV</w:t>
      </w:r>
    </w:p>
    <w:p w:rsidR="004475DD" w:rsidRPr="004475DD" w:rsidRDefault="004475DD" w:rsidP="004475DD">
      <w:pPr>
        <w:widowControl w:val="0"/>
        <w:tabs>
          <w:tab w:val="left" w:pos="8080"/>
        </w:tabs>
        <w:suppressAutoHyphens/>
        <w:spacing w:after="0" w:line="240" w:lineRule="auto"/>
        <w:jc w:val="center"/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>Čl. I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  <w:t>Sadzba dane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spacing w:after="0" w:line="240" w:lineRule="auto"/>
        <w:ind w:left="405" w:hanging="390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1. Ročná sadzba dane je za každý aj začatý m</w:t>
      </w:r>
      <w:r w:rsidRPr="004475DD">
        <w:rPr>
          <w:rFonts w:ascii="Calibri" w:eastAsia="Times New Roman" w:hAnsi="Calibri" w:cs="Tahoma"/>
          <w:kern w:val="1"/>
          <w:sz w:val="24"/>
          <w:szCs w:val="24"/>
          <w:vertAlign w:val="superscript"/>
          <w:lang w:eastAsia="hi-IN" w:bidi="hi-IN"/>
        </w:rPr>
        <w:t>2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podlahovej plochy bytu a nebytového priestoru: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ind w:left="405" w:hanging="390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ab/>
        <w:t xml:space="preserve">a)  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>0,050 €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za byty,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ind w:left="405" w:hanging="390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ab/>
        <w:t xml:space="preserve">b)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  0,050 €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za nebytové priestory slúžiace na iný účel,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ind w:left="405" w:hanging="390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ab/>
        <w:t xml:space="preserve">c)  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0,050 € 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za nebytové priestory slúžiace ako garáž.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ind w:left="405" w:hanging="390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2. Byt alebo časť bytu v bytovom dome, ktorý sa k 1. januáru zdaňovacieho obdobia využíva na iný účel ako bývanie, sa na účely tohto zákona považuje za nebytový priestor.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both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      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ahoma"/>
          <w:b/>
          <w:kern w:val="1"/>
          <w:sz w:val="28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b/>
          <w:kern w:val="1"/>
          <w:sz w:val="28"/>
          <w:szCs w:val="24"/>
          <w:lang w:eastAsia="hi-IN" w:bidi="hi-IN"/>
        </w:rPr>
        <w:t>4. ZNÍŽENIE  DANE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ahoma"/>
          <w:b/>
          <w:kern w:val="1"/>
          <w:sz w:val="28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tabs>
          <w:tab w:val="left" w:pos="5628"/>
        </w:tabs>
        <w:suppressAutoHyphens/>
        <w:spacing w:after="0" w:line="240" w:lineRule="auto"/>
        <w:ind w:left="268" w:hanging="281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1. Správca dane zníži daň u všetkých druhov pozemkov 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osamelo žijúcim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 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vlastníkom</w:t>
      </w:r>
    </w:p>
    <w:p w:rsidR="004475DD" w:rsidRPr="004475DD" w:rsidRDefault="004475DD" w:rsidP="004475DD">
      <w:pPr>
        <w:widowControl w:val="0"/>
        <w:tabs>
          <w:tab w:val="left" w:pos="5628"/>
        </w:tabs>
        <w:suppressAutoHyphens/>
        <w:spacing w:after="0" w:line="240" w:lineRule="auto"/>
        <w:ind w:left="268" w:hanging="281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lastRenderedPageBreak/>
        <w:t xml:space="preserve">a) ktorí v zdaňovacom  období dosiahli vek 70 rokov a starším, slúžiacich výhradne pre ich osobnú potrebu vo výške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>30%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,</w:t>
      </w:r>
    </w:p>
    <w:p w:rsidR="004475DD" w:rsidRPr="004475DD" w:rsidRDefault="004475DD" w:rsidP="004475DD">
      <w:pPr>
        <w:widowControl w:val="0"/>
        <w:tabs>
          <w:tab w:val="left" w:pos="5628"/>
        </w:tabs>
        <w:suppressAutoHyphens/>
        <w:spacing w:after="0" w:line="240" w:lineRule="auto"/>
        <w:ind w:left="268" w:hanging="281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>2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.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Správca dane zníži daň u všetkých druhov pozemkov 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samostatne hospodáriacim roľníkom v katastrálnom území Richvald vo výške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>30 %.</w:t>
      </w:r>
    </w:p>
    <w:p w:rsidR="004475DD" w:rsidRPr="004475DD" w:rsidRDefault="004475DD" w:rsidP="004475DD">
      <w:pPr>
        <w:widowControl w:val="0"/>
        <w:tabs>
          <w:tab w:val="left" w:pos="5628"/>
        </w:tabs>
        <w:suppressAutoHyphens/>
        <w:spacing w:after="0" w:line="240" w:lineRule="auto"/>
        <w:ind w:left="268" w:hanging="281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>3. Správca dane zníži daň u stavieb a bytov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 osamelo žijúcim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 xml:space="preserve"> 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vlastníkom</w:t>
      </w:r>
    </w:p>
    <w:p w:rsidR="004475DD" w:rsidRPr="004475DD" w:rsidRDefault="004475DD" w:rsidP="004475DD">
      <w:pPr>
        <w:widowControl w:val="0"/>
        <w:tabs>
          <w:tab w:val="left" w:pos="5628"/>
        </w:tabs>
        <w:suppressAutoHyphens/>
        <w:spacing w:after="0" w:line="240" w:lineRule="auto"/>
        <w:ind w:left="268" w:hanging="281"/>
        <w:jc w:val="both"/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 xml:space="preserve">a) ktorí v zdaňovacom  období dosiahli vek 70 rokov a starším, slúžiacich výhradne pre ich osobnú potrebu vo výške </w:t>
      </w:r>
      <w:r w:rsidRPr="004475DD">
        <w:rPr>
          <w:rFonts w:ascii="Calibri" w:eastAsia="Times New Roman" w:hAnsi="Calibri" w:cs="Tahoma"/>
          <w:b/>
          <w:kern w:val="1"/>
          <w:sz w:val="24"/>
          <w:szCs w:val="24"/>
          <w:lang w:eastAsia="hi-IN" w:bidi="hi-IN"/>
        </w:rPr>
        <w:t>30%</w:t>
      </w:r>
      <w:r w:rsidRPr="004475DD">
        <w:rPr>
          <w:rFonts w:ascii="Calibri" w:eastAsia="Times New Roman" w:hAnsi="Calibri" w:cs="Tahoma"/>
          <w:kern w:val="1"/>
          <w:sz w:val="24"/>
          <w:szCs w:val="24"/>
          <w:lang w:eastAsia="hi-IN" w:bidi="hi-IN"/>
        </w:rPr>
        <w:t>,</w:t>
      </w:r>
    </w:p>
    <w:p w:rsidR="004475DD" w:rsidRPr="004475DD" w:rsidRDefault="004475DD" w:rsidP="004475DD">
      <w:pPr>
        <w:widowControl w:val="0"/>
        <w:tabs>
          <w:tab w:val="left" w:pos="0"/>
          <w:tab w:val="left" w:pos="3000"/>
        </w:tabs>
        <w:suppressAutoHyphens/>
        <w:spacing w:after="0" w:line="240" w:lineRule="auto"/>
        <w:jc w:val="both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Doklady preukazujúce dôvody pre zníženie dane predloží daňovník v termíne na podanie priznania </w:t>
      </w:r>
      <w:r w:rsidRPr="004475DD">
        <w:rPr>
          <w:rFonts w:ascii="Calibri" w:eastAsia="Arial Unicode MS" w:hAnsi="Calibri" w:cs="Tahoma"/>
          <w:b/>
          <w:kern w:val="1"/>
          <w:sz w:val="24"/>
          <w:szCs w:val="24"/>
          <w:lang w:eastAsia="hi-IN" w:bidi="hi-IN"/>
        </w:rPr>
        <w:t>do 31. januára</w:t>
      </w: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 zdaňovacieho obdobia.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ab/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bCs/>
          <w:kern w:val="1"/>
          <w:sz w:val="28"/>
          <w:szCs w:val="28"/>
          <w:lang w:eastAsia="hi-IN" w:bidi="hi-IN"/>
        </w:rPr>
      </w:pPr>
      <w:r w:rsidRPr="004475DD">
        <w:rPr>
          <w:rFonts w:ascii="Calibri" w:eastAsia="Arial Unicode MS" w:hAnsi="Calibri" w:cs="Tahoma"/>
          <w:b/>
          <w:bCs/>
          <w:kern w:val="1"/>
          <w:sz w:val="28"/>
          <w:szCs w:val="28"/>
          <w:lang w:eastAsia="hi-IN" w:bidi="hi-IN"/>
        </w:rPr>
        <w:t>5. Vyrubovanie  dane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Tahoma"/>
          <w:b/>
          <w:bCs/>
          <w:kern w:val="1"/>
          <w:sz w:val="28"/>
          <w:szCs w:val="28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spacing w:after="0" w:line="240" w:lineRule="auto"/>
        <w:jc w:val="both"/>
        <w:rPr>
          <w:rFonts w:ascii="Calibri" w:eastAsia="Arial Unicode MS" w:hAnsi="Calibri" w:cs="Tahoma"/>
          <w:bCs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bCs/>
          <w:kern w:val="1"/>
          <w:sz w:val="24"/>
          <w:szCs w:val="24"/>
          <w:lang w:eastAsia="hi-IN" w:bidi="hi-IN"/>
        </w:rPr>
        <w:t>Správca dane ustanovuje, že daň v úhrne nižšiu ako 2</w:t>
      </w:r>
      <w:r w:rsidRPr="004475DD">
        <w:rPr>
          <w:rFonts w:ascii="Calibri" w:eastAsia="Arial Unicode MS" w:hAnsi="Calibri" w:cs="Tahoma"/>
          <w:b/>
          <w:bCs/>
          <w:kern w:val="1"/>
          <w:sz w:val="24"/>
          <w:szCs w:val="24"/>
          <w:lang w:eastAsia="hi-IN" w:bidi="hi-IN"/>
        </w:rPr>
        <w:t xml:space="preserve"> €</w:t>
      </w:r>
      <w:r w:rsidRPr="004475DD">
        <w:rPr>
          <w:rFonts w:ascii="Calibri" w:eastAsia="Arial Unicode MS" w:hAnsi="Calibri" w:cs="Tahoma"/>
          <w:bCs/>
          <w:kern w:val="1"/>
          <w:sz w:val="24"/>
          <w:szCs w:val="24"/>
          <w:lang w:eastAsia="hi-IN" w:bidi="hi-IN"/>
        </w:rPr>
        <w:t xml:space="preserve"> nebude vyrubovať ani vyberať.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8"/>
          <w:szCs w:val="28"/>
          <w:lang w:eastAsia="hi-IN" w:bidi="hi-IN"/>
        </w:rPr>
      </w:pPr>
      <w:r w:rsidRPr="004475DD">
        <w:rPr>
          <w:rFonts w:ascii="Calibri" w:eastAsia="Arial Unicode MS" w:hAnsi="Calibri" w:cs="Tahoma"/>
          <w:b/>
          <w:kern w:val="1"/>
          <w:sz w:val="28"/>
          <w:szCs w:val="28"/>
          <w:lang w:eastAsia="hi-IN" w:bidi="hi-IN"/>
        </w:rPr>
        <w:t>6. Záverečné ustanovenia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Tahoma"/>
          <w:b/>
          <w:kern w:val="1"/>
          <w:sz w:val="28"/>
          <w:szCs w:val="28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 (1) Pokiaľ toto Všeobecne záväzné nariadenie  neobsahuje osobitnú právnu úpravu daní a konania, platia ustanovenia  zákona č. 582/2004 Z.z. o miestnych daniach a miestnom poplatku za komunálne odpady a drobné stavebné odpady v znení neskorších predpisov a zákon č. 563/2009 Z.z. o správe daní (daňový poriadok) a o zmene a doplnení niektorých zákonov.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both"/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 xml:space="preserve">(2) Dňom nadobudnutia účinnosti tohto Všeobecne záväzného nariadenia </w:t>
      </w:r>
      <w:r w:rsidRPr="004475DD">
        <w:rPr>
          <w:rFonts w:ascii="Calibri" w:eastAsia="Arial Unicode MS" w:hAnsi="Calibri" w:cs="Tahoma"/>
          <w:color w:val="FF0000"/>
          <w:kern w:val="1"/>
          <w:sz w:val="24"/>
          <w:szCs w:val="24"/>
          <w:lang w:eastAsia="hi-IN" w:bidi="hi-IN"/>
        </w:rPr>
        <w:t xml:space="preserve">sa ruší Všeobecne záväzné nariadenie obce Richvald  č. </w:t>
      </w:r>
      <w:r w:rsidR="0058410C" w:rsidRPr="0058410C">
        <w:rPr>
          <w:rFonts w:ascii="Calibri" w:eastAsia="Arial Unicode MS" w:hAnsi="Calibri" w:cs="Tahoma"/>
          <w:color w:val="FF0000"/>
          <w:kern w:val="1"/>
          <w:sz w:val="24"/>
          <w:szCs w:val="24"/>
          <w:lang w:eastAsia="hi-IN" w:bidi="hi-IN"/>
        </w:rPr>
        <w:t>3/2020</w:t>
      </w:r>
      <w:r w:rsidRPr="004475DD">
        <w:rPr>
          <w:rFonts w:ascii="Calibri" w:eastAsia="Arial Unicode MS" w:hAnsi="Calibri" w:cs="Tahoma"/>
          <w:color w:val="FF0000"/>
          <w:kern w:val="1"/>
          <w:sz w:val="24"/>
          <w:szCs w:val="24"/>
          <w:lang w:eastAsia="hi-IN" w:bidi="hi-IN"/>
        </w:rPr>
        <w:t xml:space="preserve"> o dani z nehnuteľností  v plnom rozsahu</w:t>
      </w:r>
      <w:r w:rsidRPr="004475DD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>.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both"/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  <w:t xml:space="preserve">(3) Obecné zastupiteľstvo v Richvalde sa na tomto návrhu Všeobecne záväznom nariadení o dani z nehnuteľností uznieslo dňa </w:t>
      </w:r>
      <w:r w:rsidR="0058410C">
        <w:rPr>
          <w:rFonts w:ascii="Calibri" w:eastAsia="Arial Unicode MS" w:hAnsi="Calibri" w:cs="Tahoma"/>
          <w:color w:val="FF0000"/>
          <w:kern w:val="1"/>
          <w:sz w:val="24"/>
          <w:szCs w:val="24"/>
          <w:lang w:eastAsia="hi-IN" w:bidi="hi-IN"/>
        </w:rPr>
        <w:t xml:space="preserve">               </w:t>
      </w:r>
      <w:r w:rsidRPr="004475DD">
        <w:rPr>
          <w:rFonts w:ascii="Calibri" w:eastAsia="Arial Unicode MS" w:hAnsi="Calibri" w:cs="Tahoma"/>
          <w:color w:val="FF0000"/>
          <w:kern w:val="1"/>
          <w:sz w:val="24"/>
          <w:szCs w:val="24"/>
          <w:lang w:eastAsia="hi-IN" w:bidi="hi-IN"/>
        </w:rPr>
        <w:t xml:space="preserve"> </w:t>
      </w:r>
      <w:r w:rsidRPr="004475DD"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  <w:t xml:space="preserve">a </w:t>
      </w:r>
      <w:r w:rsidR="0058410C"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  <w:t>bolo schválené</w:t>
      </w:r>
      <w:r w:rsidRPr="004475DD"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  <w:t xml:space="preserve"> uznesením Obecného zastupiteľstva č. </w:t>
      </w:r>
      <w:r w:rsidR="0058410C">
        <w:rPr>
          <w:rFonts w:ascii="Calibri" w:eastAsia="Arial Unicode MS" w:hAnsi="Calibri" w:cs="Tahoma"/>
          <w:color w:val="FF0000"/>
          <w:kern w:val="1"/>
          <w:sz w:val="24"/>
          <w:szCs w:val="24"/>
          <w:lang w:eastAsia="hi-IN" w:bidi="hi-IN"/>
        </w:rPr>
        <w:t xml:space="preserve">  /2021</w:t>
      </w:r>
      <w:r w:rsidRPr="004475DD"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  <w:t>.</w:t>
      </w:r>
    </w:p>
    <w:p w:rsidR="004475DD" w:rsidRPr="004475DD" w:rsidRDefault="004475DD" w:rsidP="004475DD">
      <w:pPr>
        <w:widowControl w:val="0"/>
        <w:suppressAutoHyphens/>
        <w:spacing w:after="0" w:line="240" w:lineRule="auto"/>
        <w:jc w:val="both"/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Tahoma"/>
          <w:b/>
          <w:color w:val="000000"/>
          <w:kern w:val="1"/>
          <w:sz w:val="28"/>
          <w:szCs w:val="28"/>
          <w:lang w:eastAsia="hi-IN" w:bidi="hi-IN"/>
        </w:rPr>
      </w:pPr>
      <w:r w:rsidRPr="004475DD">
        <w:rPr>
          <w:rFonts w:ascii="Calibri" w:eastAsia="Arial Unicode MS" w:hAnsi="Calibri" w:cs="Tahoma"/>
          <w:b/>
          <w:color w:val="000000"/>
          <w:kern w:val="1"/>
          <w:sz w:val="28"/>
          <w:szCs w:val="28"/>
          <w:lang w:eastAsia="hi-IN" w:bidi="hi-IN"/>
        </w:rPr>
        <w:t>7. Účinnosť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  <w:t xml:space="preserve">  Toto všeobecne záväzné nariadenie nadobúda účinnosť </w:t>
      </w:r>
      <w:r w:rsidRPr="004475DD">
        <w:rPr>
          <w:rFonts w:ascii="Calibri" w:eastAsia="Arial Unicode MS" w:hAnsi="Calibri" w:cs="Tahoma"/>
          <w:color w:val="FF0000"/>
          <w:kern w:val="1"/>
          <w:sz w:val="24"/>
          <w:szCs w:val="24"/>
          <w:lang w:eastAsia="hi-IN" w:bidi="hi-IN"/>
        </w:rPr>
        <w:t>1.1.20</w:t>
      </w:r>
      <w:r w:rsidR="0058410C" w:rsidRPr="0058410C">
        <w:rPr>
          <w:rFonts w:ascii="Calibri" w:eastAsia="Arial Unicode MS" w:hAnsi="Calibri" w:cs="Tahoma"/>
          <w:color w:val="FF0000"/>
          <w:kern w:val="1"/>
          <w:sz w:val="24"/>
          <w:szCs w:val="24"/>
          <w:lang w:eastAsia="hi-IN" w:bidi="hi-IN"/>
        </w:rPr>
        <w:t>22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</w:pP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  <w:t xml:space="preserve">     ........................................................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Mgr. Zuzana Germanová</w:t>
      </w:r>
    </w:p>
    <w:p w:rsidR="004475DD" w:rsidRPr="004475DD" w:rsidRDefault="004475DD" w:rsidP="004475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</w:pPr>
      <w:r w:rsidRPr="004475DD"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  <w:t xml:space="preserve">           Starostka obce   </w:t>
      </w:r>
    </w:p>
    <w:p w:rsidR="004475DD" w:rsidRPr="004475DD" w:rsidRDefault="004475DD" w:rsidP="004475DD">
      <w:pPr>
        <w:widowControl w:val="0"/>
        <w:tabs>
          <w:tab w:val="left" w:pos="375"/>
        </w:tabs>
        <w:suppressAutoHyphens/>
        <w:spacing w:after="0" w:line="240" w:lineRule="auto"/>
        <w:jc w:val="center"/>
        <w:rPr>
          <w:rFonts w:ascii="Calibri" w:eastAsia="Times New Roman" w:hAnsi="Calibri" w:cs="Tahoma"/>
          <w:b/>
          <w:color w:val="000000"/>
          <w:kern w:val="1"/>
          <w:sz w:val="32"/>
          <w:szCs w:val="24"/>
          <w:lang w:eastAsia="hi-IN" w:bidi="hi-IN"/>
        </w:rPr>
      </w:pPr>
      <w:r w:rsidRPr="004475DD">
        <w:rPr>
          <w:rFonts w:ascii="Calibri" w:eastAsia="Times New Roman" w:hAnsi="Calibri" w:cs="Tahoma"/>
          <w:b/>
          <w:color w:val="000000"/>
          <w:kern w:val="1"/>
          <w:sz w:val="32"/>
          <w:szCs w:val="24"/>
          <w:lang w:eastAsia="hi-IN" w:bidi="hi-IN"/>
        </w:rPr>
        <w:t xml:space="preserve"> </w:t>
      </w:r>
    </w:p>
    <w:p w:rsidR="004475DD" w:rsidRPr="004475DD" w:rsidRDefault="004475DD" w:rsidP="004475DD">
      <w:pPr>
        <w:suppressAutoHyphens/>
        <w:autoSpaceDN w:val="0"/>
        <w:spacing w:after="0" w:line="480" w:lineRule="auto"/>
        <w:rPr>
          <w:rFonts w:ascii="Calibri" w:eastAsia="Times New Roman" w:hAnsi="Calibri" w:cs="Times New Roman"/>
          <w:color w:val="000000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rPr>
          <w:rFonts w:ascii="Calibri" w:eastAsia="Times New Roman" w:hAnsi="Calibri" w:cs="Times New Roman"/>
          <w:color w:val="000000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rPr>
          <w:rFonts w:ascii="Calibri" w:eastAsia="Times New Roman" w:hAnsi="Calibri" w:cs="Times New Roman"/>
          <w:color w:val="000000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rPr>
          <w:rFonts w:ascii="Calibri" w:eastAsia="Times New Roman" w:hAnsi="Calibri" w:cs="Times New Roman"/>
          <w:color w:val="000000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rPr>
          <w:rFonts w:ascii="Calibri" w:eastAsia="Times New Roman" w:hAnsi="Calibri" w:cs="Times New Roman"/>
          <w:color w:val="000000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rPr>
          <w:rFonts w:ascii="Calibri" w:eastAsia="Times New Roman" w:hAnsi="Calibri" w:cs="Times New Roman"/>
          <w:color w:val="000000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rPr>
          <w:rFonts w:ascii="Calibri" w:eastAsia="Times New Roman" w:hAnsi="Calibri" w:cs="Times New Roman"/>
          <w:color w:val="000000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lastRenderedPageBreak/>
        <w:t>• Uvedený návrh všeobecne záväzného nariadenia bol vyvesený na úradnej tabuli obce:</w:t>
      </w: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</w:p>
    <w:p w:rsidR="004475DD" w:rsidRPr="004475DD" w:rsidRDefault="0058410C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  <w:r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>Dňa: 05.11 2021</w:t>
      </w:r>
      <w:r w:rsidR="004475DD"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</w:r>
      <w:r w:rsidR="004475DD"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  <w:t>pečiatka ......................</w:t>
      </w:r>
      <w:r w:rsidR="004475DD"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  <w:t>podpis: ........................</w:t>
      </w: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>• Uvedené VZN bolo schválené obecným zastupiteľstvom :</w:t>
      </w: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>Dňa:</w:t>
      </w:r>
      <w:r w:rsidR="0058410C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</w:r>
      <w:r w:rsidR="0058410C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</w: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</w: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  <w:t>pečiatka .........................</w:t>
      </w: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  <w:t>podpis .........................</w:t>
      </w: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>• Uvedené VZN bolo po jeho schválení obecným zastupiteľstvom vyhlásené vyvesením na</w:t>
      </w: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 xml:space="preserve">      úradnej tabuli obce:</w:t>
      </w: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>Dňa:</w:t>
      </w:r>
      <w:r w:rsidR="0058410C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</w:r>
      <w:r w:rsidR="0058410C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</w: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</w: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  <w:t>pečiatka .........................</w:t>
      </w: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  <w:t>podpis .........................</w:t>
      </w: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  <w:r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>• Uvedené VZN nadobúda účinnosť:</w:t>
      </w: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suppressAutoHyphens/>
        <w:autoSpaceDN w:val="0"/>
        <w:spacing w:after="0" w:line="480" w:lineRule="auto"/>
        <w:textAlignment w:val="baseline"/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</w:pPr>
    </w:p>
    <w:p w:rsidR="004475DD" w:rsidRPr="004475DD" w:rsidRDefault="0058410C" w:rsidP="004475DD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>Dňa: 01.01.2022</w:t>
      </w:r>
      <w:bookmarkStart w:id="0" w:name="_GoBack"/>
      <w:bookmarkEnd w:id="0"/>
      <w:r w:rsidR="004475DD"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</w:r>
      <w:r w:rsidR="004475DD"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  <w:t>pečiatka ...........................</w:t>
      </w:r>
      <w:r w:rsidR="004475DD" w:rsidRPr="004475DD">
        <w:rPr>
          <w:rFonts w:ascii="Calibri" w:eastAsia="Times New Roman" w:hAnsi="Calibri" w:cs="Times New Roman"/>
          <w:kern w:val="3"/>
          <w:sz w:val="24"/>
          <w:szCs w:val="24"/>
          <w:lang w:eastAsia="sk-SK"/>
        </w:rPr>
        <w:tab/>
        <w:t>podpis</w:t>
      </w:r>
      <w:r w:rsidR="004475DD" w:rsidRPr="004475DD">
        <w:rPr>
          <w:rFonts w:ascii="Calibri" w:eastAsia="Times New Roman" w:hAnsi="Calibri" w:cs="TimesNewRomanPSMT"/>
          <w:kern w:val="3"/>
          <w:sz w:val="24"/>
          <w:szCs w:val="24"/>
          <w:lang w:eastAsia="sk-SK"/>
        </w:rPr>
        <w:t>: .......................</w:t>
      </w:r>
    </w:p>
    <w:p w:rsidR="004475DD" w:rsidRPr="004475DD" w:rsidRDefault="004475DD" w:rsidP="004475DD">
      <w:pPr>
        <w:suppressAutoHyphens/>
        <w:autoSpaceDN w:val="0"/>
        <w:spacing w:after="0" w:line="276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</w:p>
    <w:p w:rsidR="004475DD" w:rsidRPr="004475DD" w:rsidRDefault="004475DD" w:rsidP="004475DD">
      <w:pPr>
        <w:widowControl w:val="0"/>
        <w:suppressAutoHyphens/>
        <w:spacing w:after="0" w:line="240" w:lineRule="auto"/>
        <w:rPr>
          <w:rFonts w:ascii="Calibri" w:eastAsia="Arial Unicode MS" w:hAnsi="Calibri" w:cs="Tahoma"/>
          <w:color w:val="000000"/>
          <w:kern w:val="1"/>
          <w:sz w:val="24"/>
          <w:szCs w:val="24"/>
          <w:lang w:eastAsia="hi-IN" w:bidi="hi-IN"/>
        </w:rPr>
      </w:pPr>
    </w:p>
    <w:p w:rsidR="00186282" w:rsidRDefault="00186282"/>
    <w:sectPr w:rsidR="00186282" w:rsidSect="00360CDD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1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5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8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2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9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300"/>
        </w:tabs>
        <w:ind w:left="0" w:firstLine="0"/>
      </w:pPr>
    </w:lvl>
  </w:abstractNum>
  <w:abstractNum w:abstractNumId="2" w15:restartNumberingAfterBreak="0">
    <w:nsid w:val="51544B4D"/>
    <w:multiLevelType w:val="hybridMultilevel"/>
    <w:tmpl w:val="A676A7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DD"/>
    <w:rsid w:val="00186282"/>
    <w:rsid w:val="004475DD"/>
    <w:rsid w:val="0058410C"/>
    <w:rsid w:val="008C06E8"/>
    <w:rsid w:val="00904E4C"/>
    <w:rsid w:val="0095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32820-0051-4730-AE2E-EFE57116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ngw.nl/heraldrywiki/images/1/1a/Richvald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GERMANOVÁ Zuzana</dc:creator>
  <cp:keywords/>
  <dc:description/>
  <cp:lastModifiedBy>GERMANOVÁ Zuzana</cp:lastModifiedBy>
  <cp:revision>5</cp:revision>
  <dcterms:created xsi:type="dcterms:W3CDTF">2021-11-05T13:37:00Z</dcterms:created>
  <dcterms:modified xsi:type="dcterms:W3CDTF">2021-11-05T13:44:00Z</dcterms:modified>
</cp:coreProperties>
</file>